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6DAF" w14:textId="7FCCA500" w:rsidR="009A4F71" w:rsidRPr="00A345DB" w:rsidRDefault="00A345DB" w:rsidP="00A345DB">
      <w:pPr>
        <w:ind w:righ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DB">
        <w:rPr>
          <w:rFonts w:ascii="Times New Roman" w:hAnsi="Times New Roman" w:cs="Times New Roman"/>
          <w:sz w:val="28"/>
          <w:szCs w:val="28"/>
          <w:shd w:val="clear" w:color="auto" w:fill="FFFFFF"/>
        </w:rPr>
        <w:t>EVAT kulude infoleht</w:t>
      </w:r>
    </w:p>
    <w:p w14:paraId="5B00FEB4" w14:textId="55CF59A0" w:rsidR="00486F7E" w:rsidRPr="001669F6" w:rsidRDefault="00D6535F" w:rsidP="00FC0C4B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Kulude</w:t>
      </w:r>
      <w:r w:rsidR="00486F7E"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 xml:space="preserve"> piir</w:t>
      </w:r>
      <w:r w:rsidR="002575EC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hinnad</w:t>
      </w:r>
      <w:r w:rsidR="00496D59"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 xml:space="preserve"> ettevõtlustoetuse kasutamise planeerimisel</w:t>
      </w:r>
    </w:p>
    <w:p w14:paraId="42C379C4" w14:textId="2EE6F386" w:rsidR="00E124A6" w:rsidRDefault="000942DE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Ettevõtluse alustamise toetuse (EVAT) andmisel lähtub töötukassa põhimõttest, et toetus peab olema vajalik ja põhjendatud ning selle kasutami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on läbipaistev.</w:t>
      </w:r>
    </w:p>
    <w:p w14:paraId="40CF8BFD" w14:textId="6970FA50" w:rsidR="00E124A6" w:rsidRDefault="00E124A6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Informatsioon</w:t>
      </w:r>
      <w:r w:rsidR="00AE1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mille jaoks toetust ei anta</w:t>
      </w:r>
      <w:r w:rsidR="00AE1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77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toodud töötukassa </w:t>
      </w:r>
      <w:r w:rsidR="00CA550E">
        <w:rPr>
          <w:rFonts w:ascii="Times New Roman" w:hAnsi="Times New Roman" w:cs="Times New Roman"/>
          <w:sz w:val="24"/>
          <w:szCs w:val="24"/>
          <w:shd w:val="clear" w:color="auto" w:fill="FFFFFF"/>
        </w:rPr>
        <w:t>kodu</w:t>
      </w:r>
      <w:r w:rsidR="00CA550E" w:rsidRPr="002D0286">
        <w:rPr>
          <w:rFonts w:ascii="Times New Roman" w:hAnsi="Times New Roman" w:cs="Times New Roman"/>
          <w:sz w:val="24"/>
          <w:szCs w:val="24"/>
          <w:shd w:val="clear" w:color="auto" w:fill="FFFFFF"/>
        </w:rPr>
        <w:t>lehel</w:t>
      </w:r>
      <w:r w:rsidR="00CA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8" w:history="1">
        <w:r w:rsidR="00F1503C" w:rsidRPr="004100D1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https://www.tootukassa.ee/et/teenused/ettevotlusega-alustamine/evat-taotlemine</w:t>
        </w:r>
      </w:hyperlink>
      <w:r w:rsidR="00977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12A8840F" w14:textId="6370002F" w:rsidR="000942DE" w:rsidRPr="00D1116B" w:rsidRDefault="007A0CA6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Kulude v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ajadus tuleneb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4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ning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F52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nende 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hinnad sõltuvad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2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äriplaanist</w:t>
      </w:r>
      <w:r w:rsidR="007D26C9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ning 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tegevusvaldkonnast. </w:t>
      </w:r>
    </w:p>
    <w:p w14:paraId="65DEE43A" w14:textId="1DC6A405" w:rsidR="000942DE" w:rsidRPr="00D1116B" w:rsidRDefault="00D6535F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Kulude planeerimisel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soovitame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taotlejal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hinnata</w:t>
      </w:r>
      <w:r w:rsidR="00291CF4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kui tihti ja kui intensiivselt 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vahendit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kasutatakse, kas tegemist on põhitöö</w:t>
      </w:r>
      <w:r w:rsidR="00291CF4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vahendiga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või</w:t>
      </w:r>
      <w:r w:rsidR="007A0C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pigem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C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majandus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tegevust toetatava </w:t>
      </w:r>
      <w:r w:rsidR="001205C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vahendiga</w:t>
      </w:r>
      <w:r w:rsidR="000942D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2E6686D" w14:textId="77777777" w:rsidR="007A0CA6" w:rsidRPr="00D1116B" w:rsidRDefault="007A0CA6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Praktika näitab, et tavapäraseks kasutamiseks sobivate seadmete piirhinnad on käesoleval ajal järgmised:</w:t>
      </w:r>
    </w:p>
    <w:tbl>
      <w:tblPr>
        <w:tblStyle w:val="Kontuurtabel"/>
        <w:tblW w:w="978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FB0732" w:rsidRPr="00D1116B" w14:paraId="17B9E7E8" w14:textId="77777777" w:rsidTr="009B5451">
        <w:tc>
          <w:tcPr>
            <w:tcW w:w="609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BE4D5" w:themeFill="accent2" w:themeFillTint="33"/>
          </w:tcPr>
          <w:p w14:paraId="4C40F1E4" w14:textId="77777777" w:rsidR="00FB0732" w:rsidRPr="00D1116B" w:rsidRDefault="00FB0732" w:rsidP="00FC0C4B">
            <w:pPr>
              <w:ind w:righ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 nimetus</w:t>
            </w:r>
          </w:p>
        </w:tc>
        <w:tc>
          <w:tcPr>
            <w:tcW w:w="36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BE4D5" w:themeFill="accent2" w:themeFillTint="33"/>
          </w:tcPr>
          <w:p w14:paraId="728C9EED" w14:textId="0D009FBC" w:rsidR="00FB0732" w:rsidRPr="00D1116B" w:rsidRDefault="00FB0732" w:rsidP="00FC0C4B">
            <w:pPr>
              <w:ind w:righ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</w:t>
            </w:r>
            <w:r w:rsidR="00B32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  <w:r w:rsidRPr="00D11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7A0CA6" w:rsidRPr="00D1116B" w14:paraId="4A0E5A82" w14:textId="77777777" w:rsidTr="009B5451">
        <w:tc>
          <w:tcPr>
            <w:tcW w:w="6096" w:type="dxa"/>
            <w:tcBorders>
              <w:top w:val="double" w:sz="4" w:space="0" w:color="ED7D31" w:themeColor="accent2"/>
            </w:tcBorders>
          </w:tcPr>
          <w:p w14:paraId="520261DB" w14:textId="1E843970" w:rsidR="007A0CA6" w:rsidRPr="00D1116B" w:rsidRDefault="007A0CA6" w:rsidP="00FC0C4B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Arvuti/sülearvuti</w:t>
            </w:r>
            <w:r w:rsidR="00412F91">
              <w:rPr>
                <w:rStyle w:val="Allmrkuseviid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1"/>
            </w: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s.h operatsioonisüsteem</w:t>
            </w:r>
          </w:p>
        </w:tc>
        <w:tc>
          <w:tcPr>
            <w:tcW w:w="3685" w:type="dxa"/>
            <w:tcBorders>
              <w:top w:val="double" w:sz="4" w:space="0" w:color="ED7D31" w:themeColor="accent2"/>
            </w:tcBorders>
          </w:tcPr>
          <w:p w14:paraId="4070FFB3" w14:textId="0F3A776F" w:rsidR="007A0CA6" w:rsidRPr="00D1116B" w:rsidRDefault="00154F98" w:rsidP="00FC0C4B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1000</w:t>
            </w:r>
          </w:p>
        </w:tc>
      </w:tr>
      <w:tr w:rsidR="007A0CA6" w:rsidRPr="00D1116B" w14:paraId="0728B7BC" w14:textId="77777777" w:rsidTr="009B5451">
        <w:tc>
          <w:tcPr>
            <w:tcW w:w="6096" w:type="dxa"/>
          </w:tcPr>
          <w:p w14:paraId="23B2F6F5" w14:textId="12E4E1BD" w:rsidR="007A0CA6" w:rsidRPr="00D1116B" w:rsidRDefault="00FB0732" w:rsidP="00FC0C4B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Ä</w:t>
            </w:r>
            <w:r w:rsidR="007A0CA6"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riklassi arvuti</w:t>
            </w:r>
            <w:r w:rsidR="00896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/sülearvuti</w:t>
            </w:r>
            <w:r w:rsidR="00412F91">
              <w:rPr>
                <w:rStyle w:val="Allmrkuseviid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  <w:r w:rsidR="007A0CA6"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s.h operatsioonisüsteem</w:t>
            </w:r>
          </w:p>
        </w:tc>
        <w:tc>
          <w:tcPr>
            <w:tcW w:w="3685" w:type="dxa"/>
          </w:tcPr>
          <w:p w14:paraId="23B8E4A8" w14:textId="393662FF" w:rsidR="007A0CA6" w:rsidRPr="00D1116B" w:rsidRDefault="007A0CA6" w:rsidP="00FC0C4B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54F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7A0CA6" w:rsidRPr="00D1116B" w14:paraId="33F5CADC" w14:textId="77777777" w:rsidTr="009B5451">
        <w:tc>
          <w:tcPr>
            <w:tcW w:w="6096" w:type="dxa"/>
          </w:tcPr>
          <w:p w14:paraId="401D4B56" w14:textId="77777777" w:rsidR="007A0CA6" w:rsidRPr="00D1116B" w:rsidRDefault="007A0CA6" w:rsidP="00FC0C4B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Monitor</w:t>
            </w:r>
          </w:p>
        </w:tc>
        <w:tc>
          <w:tcPr>
            <w:tcW w:w="3685" w:type="dxa"/>
          </w:tcPr>
          <w:p w14:paraId="3EE00A3E" w14:textId="50C636EA" w:rsidR="007A0CA6" w:rsidRPr="00D1116B" w:rsidRDefault="00154F98" w:rsidP="00FC0C4B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="007A0CA6"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A0CA6" w:rsidRPr="00D1116B" w14:paraId="3D0E5742" w14:textId="77777777" w:rsidTr="009B5451">
        <w:tc>
          <w:tcPr>
            <w:tcW w:w="6096" w:type="dxa"/>
            <w:tcBorders>
              <w:bottom w:val="double" w:sz="4" w:space="0" w:color="ED7D31" w:themeColor="accent2"/>
            </w:tcBorders>
          </w:tcPr>
          <w:p w14:paraId="111DA6E9" w14:textId="77777777" w:rsidR="007A0CA6" w:rsidRPr="00D1116B" w:rsidRDefault="007A0CA6" w:rsidP="00FC0C4B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Mobiiltelefon</w:t>
            </w:r>
          </w:p>
        </w:tc>
        <w:tc>
          <w:tcPr>
            <w:tcW w:w="3685" w:type="dxa"/>
            <w:tcBorders>
              <w:bottom w:val="double" w:sz="4" w:space="0" w:color="ED7D31" w:themeColor="accent2"/>
            </w:tcBorders>
          </w:tcPr>
          <w:p w14:paraId="3998FC28" w14:textId="22C74A67" w:rsidR="007A0CA6" w:rsidRPr="00D1116B" w:rsidRDefault="00154F98" w:rsidP="00FC0C4B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A0CA6" w:rsidRPr="00D11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14:paraId="6A3658D0" w14:textId="2D1782F9" w:rsidR="007A0CA6" w:rsidRPr="00E124A6" w:rsidRDefault="00E124A6" w:rsidP="00FC0C4B">
      <w:pPr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Antud loetelu ei ole </w:t>
      </w:r>
      <w:r w:rsidRPr="00D1116B">
        <w:rPr>
          <w:rFonts w:ascii="Times New Roman" w:hAnsi="Times New Roman" w:cs="Times New Roman"/>
          <w:sz w:val="24"/>
          <w:szCs w:val="24"/>
        </w:rPr>
        <w:t xml:space="preserve">ammendav ja töötukassale jääb õigus </w:t>
      </w:r>
      <w:r w:rsidR="00F62566">
        <w:rPr>
          <w:rFonts w:ascii="Times New Roman" w:hAnsi="Times New Roman" w:cs="Times New Roman"/>
          <w:sz w:val="24"/>
          <w:szCs w:val="24"/>
        </w:rPr>
        <w:t>vajadusel</w:t>
      </w:r>
      <w:r w:rsidRPr="00D1116B">
        <w:rPr>
          <w:rFonts w:ascii="Times New Roman" w:hAnsi="Times New Roman" w:cs="Times New Roman"/>
          <w:sz w:val="24"/>
          <w:szCs w:val="24"/>
        </w:rPr>
        <w:t xml:space="preserve"> </w:t>
      </w:r>
      <w:r w:rsidR="006137B4" w:rsidRPr="00D1116B">
        <w:rPr>
          <w:rFonts w:ascii="Times New Roman" w:hAnsi="Times New Roman" w:cs="Times New Roman"/>
          <w:sz w:val="24"/>
          <w:szCs w:val="24"/>
        </w:rPr>
        <w:t>küsida</w:t>
      </w:r>
      <w:r w:rsidR="006137B4">
        <w:rPr>
          <w:rFonts w:ascii="Times New Roman" w:hAnsi="Times New Roman" w:cs="Times New Roman"/>
          <w:sz w:val="24"/>
          <w:szCs w:val="24"/>
        </w:rPr>
        <w:t xml:space="preserve"> </w:t>
      </w:r>
      <w:r w:rsidRPr="00D1116B">
        <w:rPr>
          <w:rFonts w:ascii="Times New Roman" w:hAnsi="Times New Roman" w:cs="Times New Roman"/>
          <w:sz w:val="24"/>
          <w:szCs w:val="24"/>
        </w:rPr>
        <w:t>täiendavaid andmeid ja infot planeeritud kulude kohta.</w:t>
      </w:r>
    </w:p>
    <w:p w14:paraId="3B55F5D8" w14:textId="7A08529C" w:rsidR="00E124A6" w:rsidRPr="004434FB" w:rsidRDefault="00FB0732" w:rsidP="00FC0C4B">
      <w:pPr>
        <w:ind w:righ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A"/>
      </w:r>
      <w:r w:rsidRPr="00D1116B">
        <w:rPr>
          <w:rFonts w:ascii="Times New Roman" w:hAnsi="Times New Roman" w:cs="Times New Roman"/>
          <w:sz w:val="24"/>
          <w:szCs w:val="24"/>
        </w:rPr>
        <w:t xml:space="preserve"> Tabelis toodud hind on maksimaalne toetusumma, mida on võimalik taotleda konkreetse kulu kohta. 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Kallima seadme ost</w:t>
      </w:r>
      <w:r w:rsidR="00E1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ei ole keelatud, kuid sellisel juhul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peab 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toetuse saaja 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olema valmis tabelis määratud hin</w:t>
      </w:r>
      <w:r w:rsidR="00BC4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ületava osa katma omafinantseeringust</w:t>
      </w:r>
      <w:r w:rsidRPr="00443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535F" w:rsidRPr="00443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F3AA7F" w14:textId="770260F8" w:rsidR="00FB0732" w:rsidRPr="00E1797F" w:rsidRDefault="00CB04AB" w:rsidP="00FC0C4B">
      <w:pPr>
        <w:ind w:righ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Juhul kui </w:t>
      </w:r>
      <w:r w:rsidR="00E1797F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teenuse/äritegevuse</w:t>
      </w: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37B4">
        <w:rPr>
          <w:rFonts w:ascii="Times New Roman" w:hAnsi="Times New Roman" w:cs="Times New Roman"/>
          <w:sz w:val="24"/>
          <w:szCs w:val="24"/>
          <w:shd w:val="clear" w:color="auto" w:fill="FFFFFF"/>
        </w:rPr>
        <w:t>eripärast</w:t>
      </w:r>
      <w:r w:rsidR="006137B4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lähtudes</w:t>
      </w:r>
      <w:r w:rsidR="00E1797F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vajatakse </w:t>
      </w: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seade</w:t>
      </w:r>
      <w:r w:rsidR="00E1797F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(nt monitor, arvuti)</w:t>
      </w:r>
      <w:r w:rsidR="00E1797F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mille hind ületab tabelis toodud piirhinda, </w:t>
      </w:r>
      <w:r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siis töötukassale esitatav info peab sisaldama vastavaid põhjendusi</w:t>
      </w:r>
      <w:r w:rsidR="00272AC5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137B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779CC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>äiteks</w:t>
      </w:r>
      <w:r w:rsidR="00272AC5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arvuti soetamise puhul peab olema toodud</w:t>
      </w:r>
      <w:r w:rsidR="006137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2AC5" w:rsidRPr="00E1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millist tarkvara plaanitakse kasutada ja millised on tehnilised nõuded arvutile. </w:t>
      </w:r>
    </w:p>
    <w:p w14:paraId="2620F2FF" w14:textId="77777777" w:rsidR="001669F6" w:rsidRPr="00FC0C4B" w:rsidRDefault="001669F6" w:rsidP="00FC0C4B">
      <w:pPr>
        <w:ind w:righ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E43072" w14:textId="632B881C" w:rsidR="00E124A6" w:rsidRPr="001669F6" w:rsidRDefault="00E124A6" w:rsidP="00FC0C4B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Kasutatud seadmete ost</w:t>
      </w:r>
    </w:p>
    <w:p w14:paraId="7096A905" w14:textId="553CFB0E" w:rsidR="00E124A6" w:rsidRPr="00D1116B" w:rsidRDefault="00D430FE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Üldjuhul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tuleb seadmeid osta uutena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kuna </w:t>
      </w:r>
      <w:r w:rsidR="00E124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tehnika ja tehnoloogiad arenevad kiiresti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24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E124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asutatud seadme</w:t>
      </w:r>
      <w:r w:rsidR="00FE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ostmisel ei saa</w:t>
      </w:r>
      <w:r w:rsidR="00E124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olla </w:t>
      </w:r>
      <w:r w:rsidR="00E124A6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kindel, et seadmel ei ole varjatuid defekte või hilisemate pretensioonide lahendamine sujub tõrgeteta, mis omakorda võib mõjutada majandustegevuse käivitamist.</w:t>
      </w:r>
    </w:p>
    <w:p w14:paraId="181173DD" w14:textId="23FC0FD7" w:rsidR="00E124A6" w:rsidRDefault="00E124A6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Kasutatud seadmete soetamist saab kaaluda n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äiteks</w:t>
      </w:r>
      <w:r w:rsidRPr="00272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juhul</w:t>
      </w:r>
      <w:r w:rsidR="00295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72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kui uue seadme hind ületab toetuse summat ja selle hind on väiksem kui uue samaväärse seadme hind.</w:t>
      </w:r>
    </w:p>
    <w:p w14:paraId="17F8621B" w14:textId="3A5E68F7" w:rsidR="000242F7" w:rsidRDefault="000242F7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EDAA10" w14:textId="77777777" w:rsidR="00297794" w:rsidRDefault="00297794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5E9CD7" w14:textId="01261AED" w:rsidR="009779CC" w:rsidRPr="001669F6" w:rsidRDefault="009779CC" w:rsidP="00FC0C4B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Jooksvad</w:t>
      </w:r>
      <w:r w:rsidR="006E4C8A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 xml:space="preserve"> kulud, </w:t>
      </w:r>
      <w:r w:rsidR="00C202BC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tegevus</w:t>
      </w:r>
      <w:r w:rsidRPr="001669F6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kulud</w:t>
      </w:r>
    </w:p>
    <w:p w14:paraId="43E46BD3" w14:textId="516C1760" w:rsidR="009779CC" w:rsidRPr="00776EF3" w:rsidRDefault="009779CC" w:rsidP="00776EF3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Põhjendatud juhtudel saab toetuse arvelt katta</w:t>
      </w:r>
      <w:r w:rsidR="00CE3BE9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esimeste kuude</w:t>
      </w: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jooksvaid majandustegevuse </w:t>
      </w:r>
      <w:r w:rsidR="00CE3BE9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käivitamise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37B4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kulusid</w:t>
      </w: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(maksimaalselt kuni kolm esimest kuud järjest). </w:t>
      </w:r>
    </w:p>
    <w:p w14:paraId="4E336043" w14:textId="67535798" w:rsidR="001669F6" w:rsidRPr="00776EF3" w:rsidRDefault="001669F6" w:rsidP="00776EF3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Jooksvad kulu</w:t>
      </w:r>
      <w:r w:rsidR="00FC239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</w:t>
      </w:r>
      <w:r w:rsidR="006C0A11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näiteks </w:t>
      </w:r>
      <w:r w:rsidR="006C0A11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ruumide rendikulu (v.a tagatisraha)</w:t>
      </w:r>
      <w:r w:rsidR="00FC239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kommunaalkulu, tarkvara rent</w:t>
      </w:r>
      <w:r w:rsidR="00BA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</w:t>
      </w:r>
      <w:r w:rsidR="00FC239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kulu sideteenustele. </w:t>
      </w:r>
    </w:p>
    <w:p w14:paraId="42BF5CD2" w14:textId="04D8EF57" w:rsidR="009779CC" w:rsidRDefault="006137B4" w:rsidP="00776EF3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Kui </w:t>
      </w:r>
      <w:r w:rsidR="00C202B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majandus</w:t>
      </w:r>
      <w:r w:rsidR="009779C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tegevus on käivit</w:t>
      </w:r>
      <w:r w:rsidR="00CE3BE9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unud</w:t>
      </w:r>
      <w:r w:rsidR="009779C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siis </w:t>
      </w:r>
      <w:r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ei ole </w:t>
      </w:r>
      <w:r w:rsidR="009779CC" w:rsidRPr="00776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jooksvate kulude katmine põhjendatud. </w:t>
      </w:r>
    </w:p>
    <w:p w14:paraId="3E388B78" w14:textId="1A4B3E42" w:rsidR="007D26C9" w:rsidRDefault="007D26C9" w:rsidP="00776EF3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A03547" w14:textId="19F94DDB" w:rsidR="007D26C9" w:rsidRPr="008F0385" w:rsidRDefault="007D26C9" w:rsidP="007D26C9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 w:rsidRPr="008F0385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Tööjõukulud</w:t>
      </w:r>
    </w:p>
    <w:p w14:paraId="364FD6CD" w14:textId="45571087" w:rsidR="0096168D" w:rsidRDefault="0096168D" w:rsidP="00BE73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593335"/>
      <w:r w:rsidRPr="007B0407">
        <w:rPr>
          <w:rFonts w:ascii="Times New Roman" w:hAnsi="Times New Roman" w:cs="Times New Roman"/>
          <w:sz w:val="24"/>
          <w:szCs w:val="24"/>
        </w:rPr>
        <w:t>Toetus on mõeldud ettevõtlusega alustamiseks esmavajalike investeeringute (vahendite, seadmete ja teenuste</w:t>
      </w:r>
      <w:r w:rsidR="00935C21" w:rsidRPr="007B0407">
        <w:rPr>
          <w:rFonts w:ascii="Times New Roman" w:hAnsi="Times New Roman" w:cs="Times New Roman"/>
          <w:sz w:val="24"/>
          <w:szCs w:val="24"/>
        </w:rPr>
        <w:t xml:space="preserve"> ost</w:t>
      </w:r>
      <w:r w:rsidRPr="007B0407">
        <w:rPr>
          <w:rFonts w:ascii="Times New Roman" w:hAnsi="Times New Roman" w:cs="Times New Roman"/>
          <w:sz w:val="24"/>
          <w:szCs w:val="24"/>
        </w:rPr>
        <w:t xml:space="preserve">) tegemiseks. Ilma möödapääsmatute investeeringute tegemist ei ole ettevõtlusega alustamine võimalik, sest puuduksid vajalikud töövahendid teenuse osutamiseks või toodete valmistamiseks. </w:t>
      </w:r>
    </w:p>
    <w:p w14:paraId="650968FE" w14:textId="3846D160" w:rsidR="007A46AA" w:rsidRPr="007B0407" w:rsidRDefault="009D4350" w:rsidP="00BE735F">
      <w:pPr>
        <w:jc w:val="both"/>
        <w:rPr>
          <w:rFonts w:ascii="Times New Roman" w:hAnsi="Times New Roman" w:cs="Times New Roman"/>
          <w:sz w:val="24"/>
          <w:szCs w:val="24"/>
        </w:rPr>
      </w:pPr>
      <w:r w:rsidRPr="007B0407">
        <w:rPr>
          <w:rFonts w:ascii="Times New Roman" w:hAnsi="Times New Roman" w:cs="Times New Roman"/>
          <w:sz w:val="24"/>
          <w:szCs w:val="24"/>
        </w:rPr>
        <w:t>Tööjõukulud ei ole ettevõtlusega alustamisel esmavajalikud, sest need ei takista ettevõtte käivitamist.</w:t>
      </w:r>
    </w:p>
    <w:p w14:paraId="2DB0E7FE" w14:textId="19E03DBF" w:rsidR="0096168D" w:rsidRDefault="0096168D" w:rsidP="00BE735F">
      <w:pPr>
        <w:jc w:val="both"/>
        <w:rPr>
          <w:rFonts w:ascii="Times New Roman" w:hAnsi="Times New Roman" w:cs="Times New Roman"/>
          <w:sz w:val="24"/>
          <w:szCs w:val="24"/>
        </w:rPr>
      </w:pPr>
      <w:r w:rsidRPr="007B0407">
        <w:rPr>
          <w:rFonts w:ascii="Times New Roman" w:hAnsi="Times New Roman" w:cs="Times New Roman"/>
          <w:sz w:val="24"/>
          <w:szCs w:val="24"/>
        </w:rPr>
        <w:t>Tulenevalt ärimudelist – tegevusvaldkond, käivitusperiood, jne – võib olla põhjendatud tööjõukulude katmine toetusega erandjuhtudel</w:t>
      </w:r>
      <w:r w:rsidR="00886CEA" w:rsidRPr="007B0407">
        <w:rPr>
          <w:rFonts w:ascii="Times New Roman" w:hAnsi="Times New Roman" w:cs="Times New Roman"/>
          <w:sz w:val="24"/>
          <w:szCs w:val="24"/>
        </w:rPr>
        <w:t>,</w:t>
      </w:r>
      <w:r w:rsidRPr="007B0407">
        <w:rPr>
          <w:rFonts w:ascii="Times New Roman" w:hAnsi="Times New Roman" w:cs="Times New Roman"/>
          <w:sz w:val="24"/>
          <w:szCs w:val="24"/>
        </w:rPr>
        <w:t xml:space="preserve"> kui äritegevuse käivitusperiood </w:t>
      </w:r>
      <w:r w:rsidR="007B13F0" w:rsidRPr="007B0407">
        <w:rPr>
          <w:rFonts w:ascii="Times New Roman" w:hAnsi="Times New Roman" w:cs="Times New Roman"/>
          <w:sz w:val="24"/>
          <w:szCs w:val="24"/>
        </w:rPr>
        <w:t>on</w:t>
      </w:r>
      <w:r w:rsidRPr="007B0407">
        <w:rPr>
          <w:rFonts w:ascii="Times New Roman" w:hAnsi="Times New Roman" w:cs="Times New Roman"/>
          <w:sz w:val="24"/>
          <w:szCs w:val="24"/>
        </w:rPr>
        <w:t xml:space="preserve"> tavapärasest pikem. Millest tulenevalt võib olla põhjendatud käivitusperioodi esimese kuu tööjõukulude (miinimumtöötasu koos tööjõumaksudega) katmine toetusega. </w:t>
      </w:r>
    </w:p>
    <w:p w14:paraId="4AAD7D49" w14:textId="57E6B062" w:rsidR="00154F98" w:rsidRPr="007B0407" w:rsidRDefault="00154F98" w:rsidP="00BE7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Tööjõukulude</w:t>
      </w:r>
      <w:r w:rsidR="00750EC4">
        <w:rPr>
          <w:rFonts w:ascii="Times New Roman" w:hAnsi="Times New Roman" w:cs="Times New Roman"/>
          <w:sz w:val="24"/>
          <w:szCs w:val="24"/>
        </w:rPr>
        <w:t xml:space="preserve"> katteks</w:t>
      </w:r>
      <w:r>
        <w:rPr>
          <w:rFonts w:ascii="Times New Roman" w:hAnsi="Times New Roman" w:cs="Times New Roman"/>
          <w:sz w:val="24"/>
          <w:szCs w:val="24"/>
        </w:rPr>
        <w:t xml:space="preserve"> on võimalik toetust </w:t>
      </w:r>
      <w:r w:rsidR="009C6CAF">
        <w:rPr>
          <w:rFonts w:ascii="Times New Roman" w:hAnsi="Times New Roman" w:cs="Times New Roman"/>
          <w:sz w:val="24"/>
          <w:szCs w:val="24"/>
        </w:rPr>
        <w:t>taotleda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28D">
        <w:rPr>
          <w:rFonts w:ascii="Times New Roman" w:hAnsi="Times New Roman" w:cs="Times New Roman"/>
          <w:sz w:val="24"/>
          <w:szCs w:val="24"/>
        </w:rPr>
        <w:t>kuni</w:t>
      </w:r>
      <w:r>
        <w:rPr>
          <w:rFonts w:ascii="Times New Roman" w:hAnsi="Times New Roman" w:cs="Times New Roman"/>
          <w:sz w:val="24"/>
          <w:szCs w:val="24"/>
        </w:rPr>
        <w:t xml:space="preserve"> 30%  toetuse </w:t>
      </w:r>
      <w:r w:rsidR="00245AFE">
        <w:rPr>
          <w:rFonts w:ascii="Times New Roman" w:hAnsi="Times New Roman" w:cs="Times New Roman"/>
          <w:sz w:val="24"/>
          <w:szCs w:val="24"/>
        </w:rPr>
        <w:t>ülemmäärast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D2">
        <w:rPr>
          <w:rFonts w:ascii="Times New Roman" w:hAnsi="Times New Roman" w:cs="Times New Roman"/>
          <w:sz w:val="24"/>
          <w:szCs w:val="24"/>
        </w:rPr>
        <w:t>taotleja kohta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0B890" w14:textId="69139165" w:rsidR="0096168D" w:rsidRDefault="00E94627" w:rsidP="00BE735F">
      <w:pPr>
        <w:jc w:val="both"/>
        <w:rPr>
          <w:rFonts w:ascii="Times New Roman" w:hAnsi="Times New Roman" w:cs="Times New Roman"/>
          <w:sz w:val="24"/>
          <w:szCs w:val="24"/>
        </w:rPr>
      </w:pPr>
      <w:r w:rsidRPr="007B0407">
        <w:rPr>
          <w:rFonts w:ascii="Times New Roman" w:hAnsi="Times New Roman" w:cs="Times New Roman"/>
          <w:sz w:val="24"/>
          <w:szCs w:val="24"/>
        </w:rPr>
        <w:t>Tööjõukulude katmine toetuse eest ei ole põhjendatud</w:t>
      </w:r>
      <w:r w:rsidR="00EF2F39" w:rsidRPr="007B0407">
        <w:rPr>
          <w:rFonts w:ascii="Times New Roman" w:hAnsi="Times New Roman" w:cs="Times New Roman"/>
          <w:sz w:val="24"/>
          <w:szCs w:val="24"/>
        </w:rPr>
        <w:t>, kui</w:t>
      </w:r>
      <w:r w:rsidR="0096168D" w:rsidRPr="007B0407">
        <w:rPr>
          <w:rFonts w:ascii="Times New Roman" w:hAnsi="Times New Roman" w:cs="Times New Roman"/>
          <w:sz w:val="24"/>
          <w:szCs w:val="24"/>
        </w:rPr>
        <w:t xml:space="preserve"> teenuse pakkumisega või toote valmistamise ja müügiga on võimalik alustada koheselt</w:t>
      </w:r>
      <w:r w:rsidR="00304D05" w:rsidRPr="007B0407">
        <w:rPr>
          <w:rFonts w:ascii="Times New Roman" w:hAnsi="Times New Roman" w:cs="Times New Roman"/>
          <w:sz w:val="24"/>
          <w:szCs w:val="24"/>
        </w:rPr>
        <w:t xml:space="preserve"> </w:t>
      </w:r>
      <w:r w:rsidR="0096168D" w:rsidRPr="007B0407">
        <w:rPr>
          <w:rFonts w:ascii="Times New Roman" w:hAnsi="Times New Roman" w:cs="Times New Roman"/>
          <w:sz w:val="24"/>
          <w:szCs w:val="24"/>
        </w:rPr>
        <w:t>(näiteks</w:t>
      </w:r>
      <w:r w:rsidR="00BB1982" w:rsidRPr="007B0407">
        <w:rPr>
          <w:rFonts w:ascii="Times New Roman" w:hAnsi="Times New Roman" w:cs="Times New Roman"/>
          <w:sz w:val="24"/>
          <w:szCs w:val="24"/>
        </w:rPr>
        <w:t xml:space="preserve"> </w:t>
      </w:r>
      <w:r w:rsidR="0096168D" w:rsidRPr="007B0407">
        <w:rPr>
          <w:rFonts w:ascii="Times New Roman" w:hAnsi="Times New Roman" w:cs="Times New Roman"/>
          <w:sz w:val="24"/>
          <w:szCs w:val="24"/>
        </w:rPr>
        <w:t>raamatupidamisteenus, iluvaldkonna teenused, jne).</w:t>
      </w:r>
    </w:p>
    <w:p w14:paraId="2EBDABB4" w14:textId="75AD45AF" w:rsidR="00154F98" w:rsidRDefault="00154F98" w:rsidP="00154F98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154F98">
        <w:rPr>
          <w:rFonts w:ascii="Times New Roman" w:hAnsi="Times New Roman" w:cs="Times New Roman"/>
          <w:color w:val="ED7D31" w:themeColor="accent2"/>
          <w:sz w:val="28"/>
          <w:szCs w:val="28"/>
        </w:rPr>
        <w:t>Turunduskulud</w:t>
      </w:r>
    </w:p>
    <w:p w14:paraId="13575412" w14:textId="42CA129B" w:rsidR="00154F98" w:rsidRDefault="00004723" w:rsidP="0015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04723"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z w:val="24"/>
          <w:szCs w:val="24"/>
        </w:rPr>
        <w:t>unduskulude all mõeldakse järgnevaid tegevusi: visiitkaardid, flaierid, flaierite kujundused, logo kujundused, disainikujundused, tootefotod, sotsiaalmeedia tegevused, koduleht, reklaamkuulutused erinevates väljaannetes ja muu taoline.</w:t>
      </w:r>
    </w:p>
    <w:p w14:paraId="5D388C50" w14:textId="3164949E" w:rsidR="00004723" w:rsidRPr="00004723" w:rsidRDefault="00004723" w:rsidP="0015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Turunduskulude katteks </w:t>
      </w:r>
      <w:r w:rsidR="00796386">
        <w:rPr>
          <w:rFonts w:ascii="Times New Roman" w:hAnsi="Times New Roman" w:cs="Times New Roman"/>
          <w:sz w:val="24"/>
          <w:szCs w:val="24"/>
        </w:rPr>
        <w:t>on võimalik toetust taotleda</w:t>
      </w:r>
      <w:r>
        <w:rPr>
          <w:rFonts w:ascii="Times New Roman" w:hAnsi="Times New Roman" w:cs="Times New Roman"/>
          <w:sz w:val="24"/>
          <w:szCs w:val="24"/>
        </w:rPr>
        <w:t xml:space="preserve"> kuni 20% toetuse </w:t>
      </w:r>
      <w:r w:rsidR="00B62B5C">
        <w:rPr>
          <w:rFonts w:ascii="Times New Roman" w:hAnsi="Times New Roman" w:cs="Times New Roman"/>
          <w:sz w:val="24"/>
          <w:szCs w:val="24"/>
        </w:rPr>
        <w:t>ülem</w:t>
      </w:r>
      <w:r>
        <w:rPr>
          <w:rFonts w:ascii="Times New Roman" w:hAnsi="Times New Roman" w:cs="Times New Roman"/>
          <w:sz w:val="24"/>
          <w:szCs w:val="24"/>
        </w:rPr>
        <w:t>määrast</w:t>
      </w:r>
      <w:r w:rsidR="00E028D2">
        <w:rPr>
          <w:rFonts w:ascii="Times New Roman" w:hAnsi="Times New Roman" w:cs="Times New Roman"/>
          <w:sz w:val="24"/>
          <w:szCs w:val="24"/>
        </w:rPr>
        <w:t xml:space="preserve"> projekti kohta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0B6E2" w14:textId="77777777" w:rsidR="0096168D" w:rsidRDefault="0096168D" w:rsidP="00BE735F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14:paraId="44D1F7DE" w14:textId="1E015A2A" w:rsidR="00D6535F" w:rsidRPr="001669F6" w:rsidRDefault="00CA550E" w:rsidP="00FC0C4B">
      <w:pPr>
        <w:ind w:right="-567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</w:rPr>
        <w:t>Kodu</w:t>
      </w:r>
      <w:r w:rsidRPr="001669F6">
        <w:rPr>
          <w:rFonts w:ascii="Times New Roman" w:hAnsi="Times New Roman" w:cs="Times New Roman"/>
          <w:color w:val="ED7D31" w:themeColor="accent2"/>
          <w:sz w:val="28"/>
          <w:szCs w:val="28"/>
        </w:rPr>
        <w:t>leh</w:t>
      </w:r>
      <w:r w:rsidR="00004723">
        <w:rPr>
          <w:rFonts w:ascii="Times New Roman" w:hAnsi="Times New Roman" w:cs="Times New Roman"/>
          <w:color w:val="ED7D31" w:themeColor="accent2"/>
          <w:sz w:val="28"/>
          <w:szCs w:val="28"/>
        </w:rPr>
        <w:t>e täiendav informatsioon</w:t>
      </w:r>
    </w:p>
    <w:p w14:paraId="461ECABA" w14:textId="1FE0DBD3" w:rsidR="00D6535F" w:rsidRPr="00D1116B" w:rsidRDefault="007D5C7A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CA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odu</w:t>
      </w:r>
      <w:r w:rsidR="00CA550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lehe </w:t>
      </w:r>
      <w:r w:rsidR="00D6535F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tellimisel</w:t>
      </w:r>
      <w:r w:rsidR="00583578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kui ka teiste kulude planeerimisel</w:t>
      </w:r>
      <w:r w:rsidR="00D6535F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soovitame olla </w:t>
      </w:r>
      <w:r w:rsidR="006137B4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 vajaduste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</w:t>
      </w:r>
      <w:r w:rsidR="006137B4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535F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hinnapakkumiste hindamisel kriitiline ja realistlik. </w:t>
      </w:r>
    </w:p>
    <w:p w14:paraId="03B21C90" w14:textId="105DEEFE" w:rsidR="00D6535F" w:rsidRPr="00D1116B" w:rsidRDefault="00D6535F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Allpool on toodud soovituslikud küsimused, 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millele peaksite enda jaoks vastused leidma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11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enne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hinnapakkumis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küsimist</w:t>
      </w:r>
      <w:r w:rsidR="00004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et suudaksite lahti mõtestada Teile vajalikku kodulehe lähteülesande:</w:t>
      </w:r>
    </w:p>
    <w:p w14:paraId="62FE6B18" w14:textId="77777777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Millised on ettevõtte eesmärgid internetis?</w:t>
      </w:r>
    </w:p>
    <w:p w14:paraId="555F6D0E" w14:textId="7DB227F1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Soovitud lahenduse detail</w:t>
      </w:r>
      <w:r w:rsidR="006137B4">
        <w:rPr>
          <w:rFonts w:ascii="Times New Roman" w:hAnsi="Times New Roman" w:cs="Times New Roman"/>
          <w:sz w:val="24"/>
          <w:szCs w:val="24"/>
        </w:rPr>
        <w:t>ne</w:t>
      </w:r>
      <w:r w:rsidRPr="00D1116B">
        <w:rPr>
          <w:rFonts w:ascii="Times New Roman" w:hAnsi="Times New Roman" w:cs="Times New Roman"/>
          <w:sz w:val="24"/>
          <w:szCs w:val="24"/>
        </w:rPr>
        <w:t xml:space="preserve"> kirjeldus</w:t>
      </w:r>
    </w:p>
    <w:p w14:paraId="48E79D29" w14:textId="5D5D99AC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Millisel platvormil koduleht tehakse?</w:t>
      </w:r>
    </w:p>
    <w:p w14:paraId="7884F705" w14:textId="36B33AF8" w:rsidR="00D6535F" w:rsidRPr="00D1116B" w:rsidRDefault="006137B4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535F" w:rsidRPr="00D1116B">
        <w:rPr>
          <w:rFonts w:ascii="Times New Roman" w:hAnsi="Times New Roman" w:cs="Times New Roman"/>
          <w:sz w:val="24"/>
          <w:szCs w:val="24"/>
        </w:rPr>
        <w:t xml:space="preserve">isulehtede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116B">
        <w:rPr>
          <w:rFonts w:ascii="Times New Roman" w:hAnsi="Times New Roman" w:cs="Times New Roman"/>
          <w:sz w:val="24"/>
          <w:szCs w:val="24"/>
        </w:rPr>
        <w:t xml:space="preserve">laneeritav </w:t>
      </w:r>
      <w:r w:rsidR="00D6535F" w:rsidRPr="00D1116B">
        <w:rPr>
          <w:rFonts w:ascii="Times New Roman" w:hAnsi="Times New Roman" w:cs="Times New Roman"/>
          <w:sz w:val="24"/>
          <w:szCs w:val="24"/>
        </w:rPr>
        <w:t>struktuur</w:t>
      </w:r>
    </w:p>
    <w:p w14:paraId="200585D0" w14:textId="77777777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Kujunduseelistused</w:t>
      </w:r>
    </w:p>
    <w:p w14:paraId="0EEB2DF2" w14:textId="75BD4876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Millised lehed on heaks eeskujuks?</w:t>
      </w:r>
    </w:p>
    <w:p w14:paraId="6F4E44EC" w14:textId="77777777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lastRenderedPageBreak/>
        <w:t>Võimalus vaadata infot ka nutiseadmete ekraanidel</w:t>
      </w:r>
    </w:p>
    <w:p w14:paraId="28B711CA" w14:textId="216DCEA6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Funktsionaalsus (nt kalender, broneerimiskalender, makselink, kliendibaas, jagamised, kommenteerimised, küsitlus, foorum, Google Map</w:t>
      </w:r>
      <w:r w:rsidR="001213FA">
        <w:rPr>
          <w:rFonts w:ascii="Times New Roman" w:hAnsi="Times New Roman" w:cs="Times New Roman"/>
          <w:sz w:val="24"/>
          <w:szCs w:val="24"/>
        </w:rPr>
        <w:t>s</w:t>
      </w:r>
      <w:r w:rsidRPr="00D1116B">
        <w:rPr>
          <w:rFonts w:ascii="Times New Roman" w:hAnsi="Times New Roman" w:cs="Times New Roman"/>
          <w:sz w:val="24"/>
          <w:szCs w:val="24"/>
        </w:rPr>
        <w:t>, vorm andmete kogumiseks jne)</w:t>
      </w:r>
    </w:p>
    <w:p w14:paraId="12323632" w14:textId="14E9FDA9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E-pood ja e-poe funktsionaalsus</w:t>
      </w:r>
    </w:p>
    <w:p w14:paraId="2B55DE67" w14:textId="0B0433F4" w:rsidR="00D6535F" w:rsidRPr="00D1116B" w:rsidRDefault="006137B4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 keeltes on </w:t>
      </w:r>
      <w:r w:rsidR="00CA550E">
        <w:rPr>
          <w:rFonts w:ascii="Times New Roman" w:hAnsi="Times New Roman" w:cs="Times New Roman"/>
          <w:sz w:val="24"/>
          <w:szCs w:val="24"/>
        </w:rPr>
        <w:t>kodu</w:t>
      </w:r>
      <w:r>
        <w:rPr>
          <w:rFonts w:ascii="Times New Roman" w:hAnsi="Times New Roman" w:cs="Times New Roman"/>
          <w:sz w:val="24"/>
          <w:szCs w:val="24"/>
        </w:rPr>
        <w:t>leht?</w:t>
      </w:r>
      <w:r w:rsidR="00D6535F" w:rsidRPr="00D1116B">
        <w:rPr>
          <w:rFonts w:ascii="Times New Roman" w:hAnsi="Times New Roman" w:cs="Times New Roman"/>
          <w:sz w:val="24"/>
          <w:szCs w:val="24"/>
        </w:rPr>
        <w:t xml:space="preserve"> Kas on vaja tõlketeenust?</w:t>
      </w:r>
    </w:p>
    <w:p w14:paraId="1841DEC7" w14:textId="1237A90C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Kodulehe nähtavus</w:t>
      </w:r>
      <w:r w:rsidR="00BA27A5">
        <w:rPr>
          <w:rFonts w:ascii="Times New Roman" w:hAnsi="Times New Roman" w:cs="Times New Roman"/>
          <w:sz w:val="24"/>
          <w:szCs w:val="24"/>
        </w:rPr>
        <w:t xml:space="preserve"> </w:t>
      </w:r>
      <w:r w:rsidRPr="00D1116B">
        <w:rPr>
          <w:rFonts w:ascii="Times New Roman" w:hAnsi="Times New Roman" w:cs="Times New Roman"/>
          <w:sz w:val="24"/>
          <w:szCs w:val="24"/>
        </w:rPr>
        <w:t>otsingutes</w:t>
      </w:r>
    </w:p>
    <w:p w14:paraId="320C251A" w14:textId="234599F1" w:rsidR="00D6535F" w:rsidRPr="00D1116B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>Toimetamisfunktsioonid, mis võimaldavad kodulehel sisu täiendada üleliigse vaevata</w:t>
      </w:r>
    </w:p>
    <w:p w14:paraId="16F821C0" w14:textId="66E3E961" w:rsidR="00D6535F" w:rsidRDefault="00D6535F" w:rsidP="00FC0C4B">
      <w:pPr>
        <w:pStyle w:val="Loendilik"/>
        <w:numPr>
          <w:ilvl w:val="0"/>
          <w:numId w:val="6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1116B">
        <w:rPr>
          <w:rFonts w:ascii="Times New Roman" w:hAnsi="Times New Roman" w:cs="Times New Roman"/>
          <w:sz w:val="24"/>
          <w:szCs w:val="24"/>
        </w:rPr>
        <w:t xml:space="preserve">Kes, millal ja kuidas teeb veebianalüütikat (kust tulevad külastajad, mis neid kodulehel huvitab, kuhu </w:t>
      </w:r>
      <w:r w:rsidR="00B8494C">
        <w:rPr>
          <w:rFonts w:ascii="Times New Roman" w:hAnsi="Times New Roman" w:cs="Times New Roman"/>
          <w:sz w:val="24"/>
          <w:szCs w:val="24"/>
        </w:rPr>
        <w:t>külastajad</w:t>
      </w:r>
      <w:r w:rsidR="00B8494C" w:rsidRPr="00D1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16B">
        <w:rPr>
          <w:rFonts w:ascii="Times New Roman" w:hAnsi="Times New Roman" w:cs="Times New Roman"/>
          <w:sz w:val="24"/>
          <w:szCs w:val="24"/>
        </w:rPr>
        <w:t>klikivad</w:t>
      </w:r>
      <w:proofErr w:type="spellEnd"/>
      <w:r w:rsidRPr="00D1116B">
        <w:rPr>
          <w:rFonts w:ascii="Times New Roman" w:hAnsi="Times New Roman" w:cs="Times New Roman"/>
          <w:sz w:val="24"/>
          <w:szCs w:val="24"/>
        </w:rPr>
        <w:t xml:space="preserve"> ja liiguvad, mis on need indikaatorid, mis ütlevad kas koduleht täidab oma eesmärke või mitte)</w:t>
      </w:r>
    </w:p>
    <w:p w14:paraId="507D0CB9" w14:textId="77777777" w:rsidR="00F030A3" w:rsidRPr="00D1116B" w:rsidRDefault="00F030A3" w:rsidP="00F030A3">
      <w:pPr>
        <w:pStyle w:val="Loendilik"/>
        <w:spacing w:after="0" w:line="240" w:lineRule="auto"/>
        <w:ind w:left="1004" w:right="-567"/>
        <w:rPr>
          <w:rFonts w:ascii="Times New Roman" w:hAnsi="Times New Roman" w:cs="Times New Roman"/>
          <w:sz w:val="24"/>
          <w:szCs w:val="24"/>
        </w:rPr>
      </w:pPr>
    </w:p>
    <w:p w14:paraId="251FC226" w14:textId="4F2A17D3" w:rsidR="001669F6" w:rsidRPr="00D1116B" w:rsidRDefault="00583578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Töötukassale jääb õigus küsida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kodu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lehe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lähteülesande kirjeldus</w:t>
      </w:r>
      <w:r w:rsidR="00782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C731C66" w14:textId="15DEC85F" w:rsidR="00D6535F" w:rsidRPr="00D1116B" w:rsidRDefault="00D6535F" w:rsidP="00FC0C4B">
      <w:p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Juhime tähelepanu, et turunduseesmärkide täitmiseks üksnes kodulehe loomisest ei piisa. </w:t>
      </w:r>
      <w:r w:rsidR="00CA5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Kodu</w:t>
      </w:r>
      <w:r w:rsidR="00CA550E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leht </w:t>
      </w:r>
      <w:r w:rsidR="00ED3B35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(ja/või konto sotsiaalmeediakanalis) 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peab olema </w:t>
      </w:r>
      <w:r w:rsidR="00613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leitav ja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69F6">
        <w:rPr>
          <w:rFonts w:ascii="Times New Roman" w:hAnsi="Times New Roman" w:cs="Times New Roman"/>
          <w:sz w:val="24"/>
          <w:szCs w:val="24"/>
          <w:shd w:val="clear" w:color="auto" w:fill="FFFFFF"/>
        </w:rPr>
        <w:t>nähtav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Seega veel üks küsimus, mis vajab analüüsi</w:t>
      </w:r>
      <w:r w:rsidR="00ED3B35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selget plaani </w:t>
      </w:r>
      <w:r w:rsidR="00ED3B35"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</w:t>
      </w:r>
      <w:r w:rsidRPr="00D11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eelarvet:</w:t>
      </w:r>
    </w:p>
    <w:p w14:paraId="4EA8E4B9" w14:textId="217179F2" w:rsidR="00786918" w:rsidRDefault="0005197F" w:rsidP="00786918">
      <w:pPr>
        <w:pStyle w:val="Loendilik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D6535F"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uidas kavatsetakse </w:t>
      </w:r>
      <w:r w:rsidR="00CA550E"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koduleht </w:t>
      </w:r>
      <w:r w:rsidR="00D6535F"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potentsiaalsetele klientidele nähtavaks ja kiiresti leitavaks teha ning millised kulud on sellega seotud</w:t>
      </w:r>
      <w:r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95FF2FC" w14:textId="77777777" w:rsidR="00F030A3" w:rsidRDefault="00F030A3" w:rsidP="00F030A3">
      <w:pPr>
        <w:pStyle w:val="Loendilik"/>
        <w:ind w:left="1004"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745F55" w14:textId="77777777" w:rsidR="00786918" w:rsidRPr="00786918" w:rsidRDefault="00786918" w:rsidP="00786918">
      <w:pPr>
        <w:pStyle w:val="Loendilik"/>
        <w:ind w:left="1004" w:righ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0DA64D" w14:textId="5F80E693" w:rsidR="0037539E" w:rsidRPr="00786918" w:rsidRDefault="00786918" w:rsidP="000208DC">
      <w:pPr>
        <w:pStyle w:val="Loendilik"/>
        <w:ind w:left="0" w:righ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Küsimuste korral </w:t>
      </w:r>
      <w:r w:rsidR="00AE1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palun </w:t>
      </w:r>
      <w:r w:rsidRPr="007869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kirjutage aadressile </w:t>
      </w:r>
      <w:hyperlink r:id="rId9" w:history="1">
        <w:r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evat@tootukassa.ee</w:t>
        </w:r>
      </w:hyperlink>
    </w:p>
    <w:sectPr w:rsidR="0037539E" w:rsidRPr="00786918" w:rsidSect="00632AE8">
      <w:head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E9A0" w14:textId="77777777" w:rsidR="00B70E16" w:rsidRDefault="00B70E16" w:rsidP="00412F91">
      <w:pPr>
        <w:spacing w:after="0" w:line="240" w:lineRule="auto"/>
      </w:pPr>
      <w:r>
        <w:separator/>
      </w:r>
    </w:p>
  </w:endnote>
  <w:endnote w:type="continuationSeparator" w:id="0">
    <w:p w14:paraId="00C7029E" w14:textId="77777777" w:rsidR="00B70E16" w:rsidRDefault="00B70E16" w:rsidP="0041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C589" w14:textId="77777777" w:rsidR="00B70E16" w:rsidRDefault="00B70E16" w:rsidP="00412F91">
      <w:pPr>
        <w:spacing w:after="0" w:line="240" w:lineRule="auto"/>
      </w:pPr>
      <w:r>
        <w:separator/>
      </w:r>
    </w:p>
  </w:footnote>
  <w:footnote w:type="continuationSeparator" w:id="0">
    <w:p w14:paraId="79B35021" w14:textId="77777777" w:rsidR="00B70E16" w:rsidRDefault="00B70E16" w:rsidP="00412F91">
      <w:pPr>
        <w:spacing w:after="0" w:line="240" w:lineRule="auto"/>
      </w:pPr>
      <w:r>
        <w:continuationSeparator/>
      </w:r>
    </w:p>
  </w:footnote>
  <w:footnote w:id="1">
    <w:p w14:paraId="48BAC666" w14:textId="04286A9C" w:rsidR="004434FB" w:rsidRPr="004434FB" w:rsidRDefault="00412F91" w:rsidP="004434FB">
      <w:pPr>
        <w:pStyle w:val="Allmrkusetekst"/>
        <w:spacing w:after="120"/>
        <w:rPr>
          <w:rFonts w:ascii="Times New Roman" w:hAnsi="Times New Roman" w:cs="Times New Roman"/>
        </w:rPr>
      </w:pPr>
      <w:r w:rsidRPr="004434FB">
        <w:rPr>
          <w:rStyle w:val="Allmrkuseviide"/>
          <w:rFonts w:ascii="Times New Roman" w:hAnsi="Times New Roman" w:cs="Times New Roman"/>
        </w:rPr>
        <w:footnoteRef/>
      </w:r>
      <w:r w:rsidRPr="004434FB">
        <w:rPr>
          <w:rFonts w:ascii="Times New Roman" w:hAnsi="Times New Roman" w:cs="Times New Roman"/>
        </w:rPr>
        <w:t xml:space="preserve"> Arvuti, mis täi</w:t>
      </w:r>
      <w:r w:rsidR="004434FB" w:rsidRPr="004434FB">
        <w:rPr>
          <w:rFonts w:ascii="Times New Roman" w:hAnsi="Times New Roman" w:cs="Times New Roman"/>
        </w:rPr>
        <w:t>d</w:t>
      </w:r>
      <w:r w:rsidRPr="004434FB">
        <w:rPr>
          <w:rFonts w:ascii="Times New Roman" w:hAnsi="Times New Roman" w:cs="Times New Roman"/>
        </w:rPr>
        <w:t>ab toetatavat funktsiooni.</w:t>
      </w:r>
      <w:r w:rsidR="00BC47AF">
        <w:rPr>
          <w:rFonts w:ascii="Times New Roman" w:hAnsi="Times New Roman" w:cs="Times New Roman"/>
        </w:rPr>
        <w:t xml:space="preserve"> Näiteks ettevõtte raamatupidamistoiminguteks, kliendisuhtluseks, turundustegevuste elluviimiseks jm</w:t>
      </w:r>
      <w:r w:rsidR="00FA5D0C">
        <w:rPr>
          <w:rFonts w:ascii="Times New Roman" w:hAnsi="Times New Roman" w:cs="Times New Roman"/>
        </w:rPr>
        <w:t>.</w:t>
      </w:r>
    </w:p>
  </w:footnote>
  <w:footnote w:id="2">
    <w:p w14:paraId="71B4D318" w14:textId="258C7E91" w:rsidR="00412F91" w:rsidRDefault="00412F91" w:rsidP="004434FB">
      <w:pPr>
        <w:pStyle w:val="Allmrkusetekst"/>
        <w:spacing w:after="120"/>
      </w:pPr>
      <w:r w:rsidRPr="004434FB">
        <w:rPr>
          <w:rStyle w:val="Allmrkuseviide"/>
          <w:rFonts w:ascii="Times New Roman" w:hAnsi="Times New Roman" w:cs="Times New Roman"/>
        </w:rPr>
        <w:footnoteRef/>
      </w:r>
      <w:r w:rsidRPr="004434FB">
        <w:rPr>
          <w:rFonts w:ascii="Times New Roman" w:hAnsi="Times New Roman" w:cs="Times New Roman"/>
        </w:rPr>
        <w:t xml:space="preserve"> </w:t>
      </w:r>
      <w:r w:rsidRPr="004434FB">
        <w:rPr>
          <w:rFonts w:ascii="Times New Roman" w:hAnsi="Times New Roman" w:cs="Times New Roman"/>
        </w:rPr>
        <w:t>Arvuti, mis on igapäevaselt kasutuses põhitöövahendina</w:t>
      </w:r>
      <w:r w:rsidR="00154F98">
        <w:rPr>
          <w:rFonts w:ascii="Times New Roman" w:hAnsi="Times New Roman" w:cs="Times New Roman"/>
        </w:rPr>
        <w:t xml:space="preserve"> ning vajab eriprogramme.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DB1F" w14:textId="12449A01" w:rsidR="004434FB" w:rsidRPr="004434FB" w:rsidRDefault="004434FB" w:rsidP="004434FB">
    <w:pPr>
      <w:pStyle w:val="Pis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</w:rPr>
    </w:pPr>
    <w:r w:rsidRPr="004434FB">
      <w:rPr>
        <w:rFonts w:ascii="Times New Roman" w:hAnsi="Times New Roman" w:cs="Times New Roman"/>
        <w:color w:val="BFBFBF" w:themeColor="background1" w:themeShade="BF"/>
        <w:sz w:val="16"/>
        <w:szCs w:val="16"/>
      </w:rPr>
      <w:t>01.01.202</w:t>
    </w:r>
    <w:r w:rsidR="004362D4">
      <w:rPr>
        <w:rFonts w:ascii="Times New Roman" w:hAnsi="Times New Roman" w:cs="Times New Roman"/>
        <w:color w:val="BFBFBF" w:themeColor="background1" w:themeShade="BF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100"/>
    <w:multiLevelType w:val="hybridMultilevel"/>
    <w:tmpl w:val="90FC8512"/>
    <w:lvl w:ilvl="0" w:tplc="998AC8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68AD"/>
    <w:multiLevelType w:val="hybridMultilevel"/>
    <w:tmpl w:val="7C624F3C"/>
    <w:lvl w:ilvl="0" w:tplc="12EE900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D463FB"/>
    <w:multiLevelType w:val="hybridMultilevel"/>
    <w:tmpl w:val="D0306DC6"/>
    <w:lvl w:ilvl="0" w:tplc="C5ACEF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2F15"/>
    <w:multiLevelType w:val="hybridMultilevel"/>
    <w:tmpl w:val="A9968544"/>
    <w:lvl w:ilvl="0" w:tplc="0CE872D6">
      <w:start w:val="11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2D268A"/>
    <w:multiLevelType w:val="hybridMultilevel"/>
    <w:tmpl w:val="23B677BE"/>
    <w:lvl w:ilvl="0" w:tplc="E7DEC3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32379"/>
    <w:multiLevelType w:val="hybridMultilevel"/>
    <w:tmpl w:val="68F05A36"/>
    <w:lvl w:ilvl="0" w:tplc="7F08F7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6DEC"/>
    <w:multiLevelType w:val="hybridMultilevel"/>
    <w:tmpl w:val="8A2EB1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0687D"/>
    <w:multiLevelType w:val="hybridMultilevel"/>
    <w:tmpl w:val="ED7084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1D4B"/>
    <w:multiLevelType w:val="hybridMultilevel"/>
    <w:tmpl w:val="AC82950C"/>
    <w:lvl w:ilvl="0" w:tplc="F5FC7BD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92401413">
    <w:abstractNumId w:val="4"/>
  </w:num>
  <w:num w:numId="2" w16cid:durableId="1662002533">
    <w:abstractNumId w:val="5"/>
  </w:num>
  <w:num w:numId="3" w16cid:durableId="1157497964">
    <w:abstractNumId w:val="1"/>
  </w:num>
  <w:num w:numId="4" w16cid:durableId="247664830">
    <w:abstractNumId w:val="8"/>
  </w:num>
  <w:num w:numId="5" w16cid:durableId="1608846833">
    <w:abstractNumId w:val="2"/>
  </w:num>
  <w:num w:numId="6" w16cid:durableId="923799655">
    <w:abstractNumId w:val="3"/>
  </w:num>
  <w:num w:numId="7" w16cid:durableId="338385478">
    <w:abstractNumId w:val="6"/>
  </w:num>
  <w:num w:numId="8" w16cid:durableId="1039628442">
    <w:abstractNumId w:val="7"/>
  </w:num>
  <w:num w:numId="9" w16cid:durableId="422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7E"/>
    <w:rsid w:val="00004723"/>
    <w:rsid w:val="00013E71"/>
    <w:rsid w:val="000208DC"/>
    <w:rsid w:val="000223C0"/>
    <w:rsid w:val="000242F7"/>
    <w:rsid w:val="00033726"/>
    <w:rsid w:val="0003530D"/>
    <w:rsid w:val="000402F7"/>
    <w:rsid w:val="00041F5A"/>
    <w:rsid w:val="0005197F"/>
    <w:rsid w:val="0007071C"/>
    <w:rsid w:val="000942DE"/>
    <w:rsid w:val="000A6E81"/>
    <w:rsid w:val="001205C6"/>
    <w:rsid w:val="001213FA"/>
    <w:rsid w:val="00154F98"/>
    <w:rsid w:val="001669F6"/>
    <w:rsid w:val="00175688"/>
    <w:rsid w:val="001769AD"/>
    <w:rsid w:val="0019222A"/>
    <w:rsid w:val="001B59F1"/>
    <w:rsid w:val="001F0265"/>
    <w:rsid w:val="001F2F98"/>
    <w:rsid w:val="00201B40"/>
    <w:rsid w:val="00221531"/>
    <w:rsid w:val="00226369"/>
    <w:rsid w:val="002335FD"/>
    <w:rsid w:val="00245AFE"/>
    <w:rsid w:val="002575EC"/>
    <w:rsid w:val="00272AC5"/>
    <w:rsid w:val="00275768"/>
    <w:rsid w:val="002804CE"/>
    <w:rsid w:val="00280CB8"/>
    <w:rsid w:val="00291CF4"/>
    <w:rsid w:val="0029548A"/>
    <w:rsid w:val="00297794"/>
    <w:rsid w:val="002D0286"/>
    <w:rsid w:val="002D6594"/>
    <w:rsid w:val="002E7446"/>
    <w:rsid w:val="00302D9A"/>
    <w:rsid w:val="00304D05"/>
    <w:rsid w:val="00343ADF"/>
    <w:rsid w:val="00353690"/>
    <w:rsid w:val="00365A09"/>
    <w:rsid w:val="0037539E"/>
    <w:rsid w:val="003D5E4D"/>
    <w:rsid w:val="004030AA"/>
    <w:rsid w:val="00405D8F"/>
    <w:rsid w:val="00412F91"/>
    <w:rsid w:val="00420B0A"/>
    <w:rsid w:val="004362D4"/>
    <w:rsid w:val="004434FB"/>
    <w:rsid w:val="00477A1C"/>
    <w:rsid w:val="004838BE"/>
    <w:rsid w:val="00486F7E"/>
    <w:rsid w:val="0049574F"/>
    <w:rsid w:val="00496D59"/>
    <w:rsid w:val="004B1E7F"/>
    <w:rsid w:val="004C51F8"/>
    <w:rsid w:val="004D1E65"/>
    <w:rsid w:val="00560211"/>
    <w:rsid w:val="00583578"/>
    <w:rsid w:val="005851DD"/>
    <w:rsid w:val="005B3D5E"/>
    <w:rsid w:val="005B55F3"/>
    <w:rsid w:val="005C265A"/>
    <w:rsid w:val="006137B4"/>
    <w:rsid w:val="00632AE8"/>
    <w:rsid w:val="006407ED"/>
    <w:rsid w:val="00683664"/>
    <w:rsid w:val="006B6D77"/>
    <w:rsid w:val="006C0A11"/>
    <w:rsid w:val="006C3477"/>
    <w:rsid w:val="006E4C8A"/>
    <w:rsid w:val="006F6045"/>
    <w:rsid w:val="006F62EA"/>
    <w:rsid w:val="00750EC4"/>
    <w:rsid w:val="00776EF3"/>
    <w:rsid w:val="00782456"/>
    <w:rsid w:val="007834BC"/>
    <w:rsid w:val="00784D6D"/>
    <w:rsid w:val="00786918"/>
    <w:rsid w:val="00796386"/>
    <w:rsid w:val="007A0CA6"/>
    <w:rsid w:val="007A46AA"/>
    <w:rsid w:val="007B0407"/>
    <w:rsid w:val="007B13F0"/>
    <w:rsid w:val="007B3DF4"/>
    <w:rsid w:val="007B5B23"/>
    <w:rsid w:val="007D26C9"/>
    <w:rsid w:val="007D5C7A"/>
    <w:rsid w:val="0083289A"/>
    <w:rsid w:val="0083779A"/>
    <w:rsid w:val="00854955"/>
    <w:rsid w:val="00875AF7"/>
    <w:rsid w:val="00886CEA"/>
    <w:rsid w:val="00895712"/>
    <w:rsid w:val="00896AA1"/>
    <w:rsid w:val="008B494F"/>
    <w:rsid w:val="008C47C8"/>
    <w:rsid w:val="008F0385"/>
    <w:rsid w:val="00917830"/>
    <w:rsid w:val="009209CE"/>
    <w:rsid w:val="00935C21"/>
    <w:rsid w:val="0096168D"/>
    <w:rsid w:val="00975FCF"/>
    <w:rsid w:val="0097728D"/>
    <w:rsid w:val="009779CC"/>
    <w:rsid w:val="009958CC"/>
    <w:rsid w:val="009A4F71"/>
    <w:rsid w:val="009B17D4"/>
    <w:rsid w:val="009B4ACD"/>
    <w:rsid w:val="009B5451"/>
    <w:rsid w:val="009C6CAF"/>
    <w:rsid w:val="009D4350"/>
    <w:rsid w:val="00A24610"/>
    <w:rsid w:val="00A345DB"/>
    <w:rsid w:val="00A34B3D"/>
    <w:rsid w:val="00A54C40"/>
    <w:rsid w:val="00A83E89"/>
    <w:rsid w:val="00AB1A05"/>
    <w:rsid w:val="00AD190A"/>
    <w:rsid w:val="00AE13AA"/>
    <w:rsid w:val="00B129AD"/>
    <w:rsid w:val="00B324ED"/>
    <w:rsid w:val="00B437F6"/>
    <w:rsid w:val="00B62B5C"/>
    <w:rsid w:val="00B672C3"/>
    <w:rsid w:val="00B70E16"/>
    <w:rsid w:val="00B77F9C"/>
    <w:rsid w:val="00B8494C"/>
    <w:rsid w:val="00B93B89"/>
    <w:rsid w:val="00BA27A5"/>
    <w:rsid w:val="00BA43E2"/>
    <w:rsid w:val="00BA45A9"/>
    <w:rsid w:val="00BB1982"/>
    <w:rsid w:val="00BC47AF"/>
    <w:rsid w:val="00BE735F"/>
    <w:rsid w:val="00C00734"/>
    <w:rsid w:val="00C071B9"/>
    <w:rsid w:val="00C11D7A"/>
    <w:rsid w:val="00C202BC"/>
    <w:rsid w:val="00C91AA7"/>
    <w:rsid w:val="00CA550E"/>
    <w:rsid w:val="00CB04AB"/>
    <w:rsid w:val="00CC477C"/>
    <w:rsid w:val="00CE1FA8"/>
    <w:rsid w:val="00CE3BE9"/>
    <w:rsid w:val="00D01B13"/>
    <w:rsid w:val="00D1116B"/>
    <w:rsid w:val="00D2769E"/>
    <w:rsid w:val="00D35B75"/>
    <w:rsid w:val="00D430FE"/>
    <w:rsid w:val="00D6535F"/>
    <w:rsid w:val="00DB78C6"/>
    <w:rsid w:val="00DD6281"/>
    <w:rsid w:val="00DE23BF"/>
    <w:rsid w:val="00DF0866"/>
    <w:rsid w:val="00E028D2"/>
    <w:rsid w:val="00E02E91"/>
    <w:rsid w:val="00E124A6"/>
    <w:rsid w:val="00E16F52"/>
    <w:rsid w:val="00E1797F"/>
    <w:rsid w:val="00E423DA"/>
    <w:rsid w:val="00E4261F"/>
    <w:rsid w:val="00E72B8A"/>
    <w:rsid w:val="00E8655A"/>
    <w:rsid w:val="00E94627"/>
    <w:rsid w:val="00E97C2A"/>
    <w:rsid w:val="00ED3B35"/>
    <w:rsid w:val="00EE2493"/>
    <w:rsid w:val="00EF2F39"/>
    <w:rsid w:val="00EF5B6E"/>
    <w:rsid w:val="00F02F3D"/>
    <w:rsid w:val="00F030A3"/>
    <w:rsid w:val="00F0321A"/>
    <w:rsid w:val="00F06108"/>
    <w:rsid w:val="00F1503C"/>
    <w:rsid w:val="00F4383C"/>
    <w:rsid w:val="00F62566"/>
    <w:rsid w:val="00F825DB"/>
    <w:rsid w:val="00FA5D0C"/>
    <w:rsid w:val="00FB0732"/>
    <w:rsid w:val="00FB55B8"/>
    <w:rsid w:val="00FB5E67"/>
    <w:rsid w:val="00FC0C4B"/>
    <w:rsid w:val="00FC239C"/>
    <w:rsid w:val="00FD0455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2EB"/>
  <w15:chartTrackingRefBased/>
  <w15:docId w15:val="{224551C9-48FA-4974-9D46-44C05CFF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0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A0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42DE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7A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7A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semiHidden/>
    <w:rsid w:val="007A0C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ariviide">
    <w:name w:val="annotation reference"/>
    <w:basedOn w:val="Liguvaikefont"/>
    <w:uiPriority w:val="99"/>
    <w:semiHidden/>
    <w:unhideWhenUsed/>
    <w:rsid w:val="00D6535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6535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6535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6535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6535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535F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779C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9CC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A4F71"/>
    <w:pPr>
      <w:spacing w:after="0" w:line="240" w:lineRule="auto"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A4F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9A4F71"/>
    <w:rPr>
      <w:rFonts w:eastAsiaTheme="minorEastAsia"/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12F9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12F9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12F91"/>
    <w:rPr>
      <w:vertAlign w:val="superscript"/>
    </w:rPr>
  </w:style>
  <w:style w:type="paragraph" w:styleId="Redaktsioon">
    <w:name w:val="Revision"/>
    <w:hidden/>
    <w:uiPriority w:val="99"/>
    <w:semiHidden/>
    <w:rsid w:val="002D0286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44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434FB"/>
  </w:style>
  <w:style w:type="paragraph" w:styleId="Jalus">
    <w:name w:val="footer"/>
    <w:basedOn w:val="Normaallaad"/>
    <w:link w:val="JalusMrk"/>
    <w:uiPriority w:val="99"/>
    <w:unhideWhenUsed/>
    <w:rsid w:val="0044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434FB"/>
  </w:style>
  <w:style w:type="character" w:styleId="Klastatudhperlink">
    <w:name w:val="FollowedHyperlink"/>
    <w:basedOn w:val="Liguvaikefont"/>
    <w:uiPriority w:val="99"/>
    <w:semiHidden/>
    <w:unhideWhenUsed/>
    <w:rsid w:val="00201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tukassa.ee/et/teenused/ettevotlusega-alustamine/evat-taotle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t@tootukass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2D54-4975-4C40-BBF4-0E2161D7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Eigird</dc:creator>
  <cp:keywords/>
  <dc:description/>
  <cp:lastModifiedBy>Indrek Kaiv</cp:lastModifiedBy>
  <cp:revision>3</cp:revision>
  <cp:lastPrinted>2020-02-17T12:37:00Z</cp:lastPrinted>
  <dcterms:created xsi:type="dcterms:W3CDTF">2023-12-13T11:34:00Z</dcterms:created>
  <dcterms:modified xsi:type="dcterms:W3CDTF">2023-12-13T11:35:00Z</dcterms:modified>
</cp:coreProperties>
</file>